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B1" w:rsidRDefault="004B2CB1" w:rsidP="00246F69">
      <w:pPr>
        <w:tabs>
          <w:tab w:val="left" w:pos="8364"/>
        </w:tabs>
        <w:spacing w:line="276" w:lineRule="auto"/>
        <w:ind w:right="669"/>
        <w:rPr>
          <w:rFonts w:ascii="Arial" w:hAnsi="Arial" w:cs="Arial"/>
          <w:b/>
        </w:rPr>
      </w:pPr>
      <w:bookmarkStart w:id="0" w:name="_GoBack"/>
      <w:bookmarkEnd w:id="0"/>
      <w:r>
        <w:rPr>
          <w:rFonts w:ascii="Arial" w:hAnsi="Arial" w:cs="Arial"/>
          <w:b/>
        </w:rPr>
        <w:t>Änderung des Energiegesetzes des Kantons Zürich</w:t>
      </w:r>
    </w:p>
    <w:p w:rsidR="004B2CB1" w:rsidRPr="0092067B" w:rsidRDefault="004B2CB1" w:rsidP="00246F69">
      <w:pPr>
        <w:tabs>
          <w:tab w:val="left" w:pos="8364"/>
        </w:tabs>
        <w:spacing w:line="276" w:lineRule="auto"/>
        <w:ind w:right="669"/>
        <w:rPr>
          <w:rFonts w:ascii="Arial" w:hAnsi="Arial" w:cs="Arial"/>
          <w:b/>
          <w:sz w:val="36"/>
          <w:szCs w:val="36"/>
        </w:rPr>
      </w:pPr>
      <w:r w:rsidRPr="0092067B">
        <w:rPr>
          <w:rFonts w:ascii="Arial" w:hAnsi="Arial" w:cs="Arial"/>
          <w:b/>
          <w:sz w:val="36"/>
          <w:szCs w:val="36"/>
        </w:rPr>
        <w:t>Positionspapier überparteiliche IG MuKEn</w:t>
      </w:r>
      <w:r w:rsidR="0092067B" w:rsidRPr="0092067B">
        <w:rPr>
          <w:rFonts w:ascii="Arial" w:hAnsi="Arial" w:cs="Arial"/>
          <w:b/>
          <w:sz w:val="36"/>
          <w:szCs w:val="36"/>
        </w:rPr>
        <w:t xml:space="preserve"> Zürich</w:t>
      </w:r>
    </w:p>
    <w:p w:rsidR="004B2CB1" w:rsidRDefault="004B2CB1" w:rsidP="00246F69">
      <w:pPr>
        <w:tabs>
          <w:tab w:val="left" w:pos="8222"/>
          <w:tab w:val="left" w:pos="8364"/>
        </w:tabs>
        <w:spacing w:line="276" w:lineRule="auto"/>
        <w:ind w:right="669"/>
        <w:rPr>
          <w:rFonts w:ascii="Arial" w:hAnsi="Arial" w:cs="Arial"/>
        </w:rPr>
      </w:pPr>
      <w:r>
        <w:rPr>
          <w:rFonts w:ascii="Arial" w:hAnsi="Arial" w:cs="Arial"/>
        </w:rPr>
        <w:t>Argumentarium zur vorgeschlagenen Revision des kantonalen Energiegesetzes Zürich aus Sicht von Hauseigentümern, Gewerbe und Wirtschaft sowie den Vertretern der Gas- und der Mineralölbranche.</w:t>
      </w:r>
      <w:r w:rsidR="0092067B">
        <w:rPr>
          <w:rFonts w:ascii="Arial" w:hAnsi="Arial" w:cs="Arial"/>
        </w:rPr>
        <w:br/>
      </w:r>
    </w:p>
    <w:p w:rsidR="004B2CB1" w:rsidRPr="004B2CB1" w:rsidRDefault="004B2CB1" w:rsidP="00246F69">
      <w:pPr>
        <w:tabs>
          <w:tab w:val="left" w:pos="8364"/>
        </w:tabs>
        <w:spacing w:line="276" w:lineRule="auto"/>
        <w:ind w:right="669"/>
        <w:rPr>
          <w:rFonts w:ascii="Arial" w:hAnsi="Arial" w:cs="Arial"/>
          <w:u w:val="single"/>
        </w:rPr>
      </w:pPr>
      <w:r w:rsidRPr="005E79F1">
        <w:rPr>
          <w:rFonts w:ascii="Arial" w:hAnsi="Arial" w:cs="Arial"/>
          <w:u w:val="single"/>
        </w:rPr>
        <w:t xml:space="preserve">Argumente zur Rückweisung des ganzen Gesetzes: </w:t>
      </w:r>
      <w:r>
        <w:rPr>
          <w:rFonts w:ascii="Arial" w:hAnsi="Arial" w:cs="Arial"/>
          <w:u w:val="single"/>
        </w:rPr>
        <w:br/>
      </w:r>
    </w:p>
    <w:p w:rsidR="004B2CB1" w:rsidRDefault="004B2CB1" w:rsidP="00246F69">
      <w:pPr>
        <w:pStyle w:val="Listenabsatz"/>
        <w:numPr>
          <w:ilvl w:val="0"/>
          <w:numId w:val="4"/>
        </w:numPr>
        <w:tabs>
          <w:tab w:val="left" w:pos="8364"/>
        </w:tabs>
        <w:spacing w:line="276" w:lineRule="auto"/>
        <w:ind w:right="669"/>
        <w:rPr>
          <w:rFonts w:ascii="Arial" w:hAnsi="Arial" w:cs="Arial"/>
          <w:sz w:val="22"/>
          <w:szCs w:val="22"/>
        </w:rPr>
      </w:pPr>
      <w:r w:rsidRPr="005E79F1">
        <w:rPr>
          <w:rFonts w:ascii="Arial" w:hAnsi="Arial" w:cs="Arial"/>
          <w:b/>
          <w:sz w:val="22"/>
          <w:szCs w:val="22"/>
        </w:rPr>
        <w:t>Kein Zwang zur Übernahme der MuKEn:</w:t>
      </w:r>
      <w:r>
        <w:rPr>
          <w:rFonts w:ascii="Arial" w:hAnsi="Arial" w:cs="Arial"/>
          <w:sz w:val="22"/>
          <w:szCs w:val="22"/>
        </w:rPr>
        <w:t xml:space="preserve"> </w:t>
      </w:r>
      <w:r w:rsidRPr="005E79F1">
        <w:rPr>
          <w:rFonts w:ascii="Arial" w:hAnsi="Arial" w:cs="Arial"/>
          <w:sz w:val="22"/>
          <w:szCs w:val="22"/>
        </w:rPr>
        <w:t xml:space="preserve">Die Übernahme der MuKEn-Module in die kantonale Gesetzgebung ist lediglich eine Empfehlung der EnDK und </w:t>
      </w:r>
      <w:r>
        <w:rPr>
          <w:rFonts w:ascii="Arial" w:hAnsi="Arial" w:cs="Arial"/>
          <w:sz w:val="22"/>
          <w:szCs w:val="22"/>
        </w:rPr>
        <w:t xml:space="preserve">keine </w:t>
      </w:r>
      <w:r w:rsidRPr="005E79F1">
        <w:rPr>
          <w:rFonts w:ascii="Arial" w:hAnsi="Arial" w:cs="Arial"/>
          <w:sz w:val="22"/>
          <w:szCs w:val="22"/>
        </w:rPr>
        <w:t xml:space="preserve">gesetzliche Pflicht. </w:t>
      </w:r>
      <w:r>
        <w:rPr>
          <w:rFonts w:ascii="Arial" w:hAnsi="Arial" w:cs="Arial"/>
          <w:sz w:val="22"/>
          <w:szCs w:val="22"/>
        </w:rPr>
        <w:br/>
      </w:r>
    </w:p>
    <w:p w:rsidR="004B2CB1" w:rsidRDefault="004B2CB1" w:rsidP="00246F69">
      <w:pPr>
        <w:pStyle w:val="Listenabsatz"/>
        <w:numPr>
          <w:ilvl w:val="0"/>
          <w:numId w:val="4"/>
        </w:numPr>
        <w:tabs>
          <w:tab w:val="left" w:pos="8364"/>
        </w:tabs>
        <w:spacing w:line="276" w:lineRule="auto"/>
        <w:ind w:right="669"/>
        <w:rPr>
          <w:rFonts w:ascii="Arial" w:hAnsi="Arial" w:cs="Arial"/>
          <w:sz w:val="22"/>
          <w:szCs w:val="22"/>
        </w:rPr>
      </w:pPr>
      <w:r w:rsidRPr="005E79F1">
        <w:rPr>
          <w:rFonts w:ascii="Arial" w:hAnsi="Arial" w:cs="Arial"/>
          <w:b/>
          <w:sz w:val="22"/>
          <w:szCs w:val="22"/>
        </w:rPr>
        <w:t>Viele MuKEn-Bestimmungen bereits umgesetzt:</w:t>
      </w:r>
      <w:r>
        <w:rPr>
          <w:rFonts w:ascii="Arial" w:hAnsi="Arial" w:cs="Arial"/>
          <w:sz w:val="22"/>
          <w:szCs w:val="22"/>
        </w:rPr>
        <w:t xml:space="preserve"> </w:t>
      </w:r>
      <w:r w:rsidRPr="005E79F1">
        <w:rPr>
          <w:rFonts w:ascii="Arial" w:hAnsi="Arial" w:cs="Arial"/>
          <w:sz w:val="22"/>
          <w:szCs w:val="22"/>
        </w:rPr>
        <w:t>Es besteht kein konkreter Sachzwang, das kantonale Energiegesetz zum jetzigen Zeitpunkt zu überarbeiten</w:t>
      </w:r>
      <w:r>
        <w:rPr>
          <w:rFonts w:ascii="Arial" w:hAnsi="Arial" w:cs="Arial"/>
          <w:sz w:val="22"/>
          <w:szCs w:val="22"/>
        </w:rPr>
        <w:t xml:space="preserve">, da </w:t>
      </w:r>
      <w:r w:rsidRPr="005E79F1">
        <w:rPr>
          <w:rFonts w:ascii="Arial" w:hAnsi="Arial" w:cs="Arial"/>
          <w:sz w:val="22"/>
          <w:szCs w:val="22"/>
        </w:rPr>
        <w:t xml:space="preserve">ein Grossteil der MuKEn-Bestimmungen entweder bereits im gültigen Energiegesetz enthalten </w:t>
      </w:r>
      <w:r>
        <w:rPr>
          <w:rFonts w:ascii="Arial" w:hAnsi="Arial" w:cs="Arial"/>
          <w:sz w:val="22"/>
          <w:szCs w:val="22"/>
        </w:rPr>
        <w:t xml:space="preserve">sind </w:t>
      </w:r>
      <w:r w:rsidRPr="005E79F1">
        <w:rPr>
          <w:rFonts w:ascii="Arial" w:hAnsi="Arial" w:cs="Arial"/>
          <w:sz w:val="22"/>
          <w:szCs w:val="22"/>
        </w:rPr>
        <w:t>oder in anderen Gesetzen umgesetzt werden müss</w:t>
      </w:r>
      <w:r>
        <w:rPr>
          <w:rFonts w:ascii="Arial" w:hAnsi="Arial" w:cs="Arial"/>
          <w:sz w:val="22"/>
          <w:szCs w:val="22"/>
        </w:rPr>
        <w:t>t</w:t>
      </w:r>
      <w:r w:rsidRPr="005E79F1">
        <w:rPr>
          <w:rFonts w:ascii="Arial" w:hAnsi="Arial" w:cs="Arial"/>
          <w:sz w:val="22"/>
          <w:szCs w:val="22"/>
        </w:rPr>
        <w:t>en.</w:t>
      </w:r>
      <w:r>
        <w:rPr>
          <w:rFonts w:ascii="Arial" w:hAnsi="Arial" w:cs="Arial"/>
          <w:sz w:val="22"/>
          <w:szCs w:val="22"/>
        </w:rPr>
        <w:br/>
      </w:r>
    </w:p>
    <w:p w:rsidR="004B2CB1" w:rsidRDefault="004B2CB1" w:rsidP="00246F69">
      <w:pPr>
        <w:pStyle w:val="Listenabsatz"/>
        <w:numPr>
          <w:ilvl w:val="0"/>
          <w:numId w:val="4"/>
        </w:numPr>
        <w:tabs>
          <w:tab w:val="left" w:pos="8364"/>
        </w:tabs>
        <w:spacing w:line="276" w:lineRule="auto"/>
        <w:ind w:right="669"/>
        <w:rPr>
          <w:rFonts w:ascii="Arial" w:hAnsi="Arial" w:cs="Arial"/>
          <w:sz w:val="22"/>
          <w:szCs w:val="22"/>
        </w:rPr>
      </w:pPr>
      <w:r w:rsidRPr="004A41FC">
        <w:rPr>
          <w:rFonts w:ascii="Arial" w:hAnsi="Arial" w:cs="Arial"/>
          <w:b/>
          <w:sz w:val="22"/>
          <w:szCs w:val="22"/>
        </w:rPr>
        <w:t>Gebäude im CO</w:t>
      </w:r>
      <w:r w:rsidRPr="00E5352D">
        <w:rPr>
          <w:rFonts w:ascii="Arial" w:hAnsi="Arial" w:cs="Arial"/>
          <w:b/>
          <w:sz w:val="22"/>
          <w:szCs w:val="22"/>
          <w:vertAlign w:val="subscript"/>
        </w:rPr>
        <w:t>2</w:t>
      </w:r>
      <w:r w:rsidRPr="004A41FC">
        <w:rPr>
          <w:rFonts w:ascii="Arial" w:hAnsi="Arial" w:cs="Arial"/>
          <w:b/>
          <w:sz w:val="22"/>
          <w:szCs w:val="22"/>
        </w:rPr>
        <w:t>-Bereich auf Kurs:</w:t>
      </w:r>
      <w:r w:rsidRPr="004A41FC">
        <w:rPr>
          <w:rFonts w:ascii="Arial" w:hAnsi="Arial" w:cs="Arial"/>
          <w:sz w:val="22"/>
          <w:szCs w:val="22"/>
        </w:rPr>
        <w:t xml:space="preserve"> Der Gebäudepark in der Schweiz ist mit seinen Reduktionszielen auf </w:t>
      </w:r>
      <w:bookmarkStart w:id="1" w:name="_Hlk517166639"/>
      <w:r w:rsidRPr="004A41FC">
        <w:rPr>
          <w:rFonts w:ascii="Arial" w:hAnsi="Arial" w:cs="Arial"/>
          <w:sz w:val="22"/>
          <w:szCs w:val="22"/>
        </w:rPr>
        <w:t xml:space="preserve">Kurs: Seit </w:t>
      </w:r>
      <w:bookmarkEnd w:id="1"/>
      <w:r w:rsidRPr="004A41FC">
        <w:rPr>
          <w:rFonts w:ascii="Arial" w:hAnsi="Arial" w:cs="Arial"/>
          <w:sz w:val="22"/>
          <w:szCs w:val="22"/>
        </w:rPr>
        <w:t>1990 sind die CO</w:t>
      </w:r>
      <w:r w:rsidRPr="004A41FC">
        <w:rPr>
          <w:rFonts w:ascii="Arial" w:hAnsi="Arial" w:cs="Arial"/>
          <w:sz w:val="22"/>
          <w:szCs w:val="22"/>
          <w:vertAlign w:val="subscript"/>
        </w:rPr>
        <w:t>2</w:t>
      </w:r>
      <w:r w:rsidRPr="004A41FC">
        <w:rPr>
          <w:rFonts w:ascii="Arial" w:hAnsi="Arial" w:cs="Arial"/>
          <w:sz w:val="22"/>
          <w:szCs w:val="22"/>
        </w:rPr>
        <w:t>-Emssionen aus Brennstoffen um über 25% gesunken und in Neubauten werden praktisch keine fossilen Heizungen mehr eingebaut.</w:t>
      </w:r>
      <w:r>
        <w:rPr>
          <w:rFonts w:ascii="Arial" w:hAnsi="Arial" w:cs="Arial"/>
          <w:sz w:val="22"/>
          <w:szCs w:val="22"/>
        </w:rPr>
        <w:br/>
      </w:r>
    </w:p>
    <w:p w:rsidR="004B2CB1" w:rsidRDefault="004B2CB1" w:rsidP="00246F69">
      <w:pPr>
        <w:pStyle w:val="Listenabsatz"/>
        <w:numPr>
          <w:ilvl w:val="0"/>
          <w:numId w:val="4"/>
        </w:numPr>
        <w:tabs>
          <w:tab w:val="left" w:pos="8364"/>
        </w:tabs>
        <w:spacing w:line="276" w:lineRule="auto"/>
        <w:ind w:right="669"/>
        <w:rPr>
          <w:rFonts w:ascii="Arial" w:hAnsi="Arial" w:cs="Arial"/>
          <w:sz w:val="22"/>
          <w:szCs w:val="22"/>
        </w:rPr>
      </w:pPr>
      <w:r w:rsidRPr="004A41FC">
        <w:rPr>
          <w:rFonts w:ascii="Arial" w:hAnsi="Arial" w:cs="Arial"/>
          <w:b/>
          <w:sz w:val="22"/>
          <w:szCs w:val="22"/>
        </w:rPr>
        <w:t>Interkantonale Harmonisierung findet nicht statt:</w:t>
      </w:r>
      <w:r w:rsidRPr="004A41FC">
        <w:rPr>
          <w:rFonts w:ascii="Arial" w:hAnsi="Arial" w:cs="Arial"/>
          <w:sz w:val="22"/>
          <w:szCs w:val="22"/>
        </w:rPr>
        <w:t xml:space="preserve"> </w:t>
      </w:r>
      <w:r w:rsidR="0092067B">
        <w:rPr>
          <w:rFonts w:ascii="Arial" w:hAnsi="Arial" w:cs="Arial"/>
          <w:sz w:val="22"/>
          <w:szCs w:val="22"/>
        </w:rPr>
        <w:t>Die Kantone</w:t>
      </w:r>
      <w:r w:rsidRPr="004A41FC">
        <w:rPr>
          <w:rFonts w:ascii="Arial" w:hAnsi="Arial" w:cs="Arial"/>
          <w:sz w:val="22"/>
          <w:szCs w:val="22"/>
        </w:rPr>
        <w:t xml:space="preserve"> Uri (auf dem parlamentarischen Weg) </w:t>
      </w:r>
      <w:r w:rsidR="0092067B">
        <w:rPr>
          <w:rFonts w:ascii="Arial" w:hAnsi="Arial" w:cs="Arial"/>
          <w:sz w:val="22"/>
          <w:szCs w:val="22"/>
        </w:rPr>
        <w:t>und</w:t>
      </w:r>
      <w:r w:rsidRPr="004A41FC">
        <w:rPr>
          <w:rFonts w:ascii="Arial" w:hAnsi="Arial" w:cs="Arial"/>
          <w:sz w:val="22"/>
          <w:szCs w:val="22"/>
        </w:rPr>
        <w:t xml:space="preserve"> Solothurn</w:t>
      </w:r>
      <w:r>
        <w:rPr>
          <w:rFonts w:ascii="Arial" w:hAnsi="Arial" w:cs="Arial"/>
          <w:sz w:val="22"/>
          <w:szCs w:val="22"/>
        </w:rPr>
        <w:t xml:space="preserve"> (</w:t>
      </w:r>
      <w:r w:rsidRPr="004A41FC">
        <w:rPr>
          <w:rFonts w:ascii="Arial" w:hAnsi="Arial" w:cs="Arial"/>
          <w:sz w:val="22"/>
          <w:szCs w:val="22"/>
        </w:rPr>
        <w:t>70% Nein</w:t>
      </w:r>
      <w:r>
        <w:rPr>
          <w:rFonts w:ascii="Arial" w:hAnsi="Arial" w:cs="Arial"/>
          <w:sz w:val="22"/>
          <w:szCs w:val="22"/>
        </w:rPr>
        <w:t xml:space="preserve"> an der Urne) haben</w:t>
      </w:r>
      <w:r w:rsidRPr="004A41FC">
        <w:rPr>
          <w:rFonts w:ascii="Arial" w:hAnsi="Arial" w:cs="Arial"/>
          <w:sz w:val="22"/>
          <w:szCs w:val="22"/>
        </w:rPr>
        <w:t xml:space="preserve"> die Überführung der MuKEn abgelehnt</w:t>
      </w:r>
      <w:r>
        <w:rPr>
          <w:rFonts w:ascii="Arial" w:hAnsi="Arial" w:cs="Arial"/>
          <w:sz w:val="22"/>
          <w:szCs w:val="22"/>
        </w:rPr>
        <w:t>.</w:t>
      </w:r>
      <w:r w:rsidRPr="004A41FC">
        <w:rPr>
          <w:rFonts w:ascii="Arial" w:hAnsi="Arial" w:cs="Arial"/>
          <w:sz w:val="22"/>
          <w:szCs w:val="22"/>
        </w:rPr>
        <w:t xml:space="preserve"> Es ist davon auszugehen, dass den MuKEn </w:t>
      </w:r>
      <w:r w:rsidR="0092067B">
        <w:rPr>
          <w:rFonts w:ascii="Arial" w:hAnsi="Arial" w:cs="Arial"/>
          <w:sz w:val="22"/>
          <w:szCs w:val="22"/>
        </w:rPr>
        <w:t>auch in anderen</w:t>
      </w:r>
      <w:r w:rsidRPr="004A41FC">
        <w:rPr>
          <w:rFonts w:ascii="Arial" w:hAnsi="Arial" w:cs="Arial"/>
          <w:sz w:val="22"/>
          <w:szCs w:val="22"/>
        </w:rPr>
        <w:t xml:space="preserve"> Kantonen ein ähnliches Schicksal droht.</w:t>
      </w:r>
      <w:r>
        <w:rPr>
          <w:rFonts w:ascii="Arial" w:hAnsi="Arial" w:cs="Arial"/>
          <w:sz w:val="22"/>
          <w:szCs w:val="22"/>
        </w:rPr>
        <w:br/>
      </w:r>
    </w:p>
    <w:p w:rsidR="004B2CB1" w:rsidRPr="004A41FC" w:rsidRDefault="004B2CB1" w:rsidP="00246F69">
      <w:pPr>
        <w:pStyle w:val="Listenabsatz"/>
        <w:numPr>
          <w:ilvl w:val="0"/>
          <w:numId w:val="4"/>
        </w:numPr>
        <w:tabs>
          <w:tab w:val="left" w:pos="8364"/>
        </w:tabs>
        <w:spacing w:line="276" w:lineRule="auto"/>
        <w:ind w:right="669"/>
        <w:rPr>
          <w:rFonts w:ascii="Arial" w:hAnsi="Arial" w:cs="Arial"/>
          <w:sz w:val="22"/>
          <w:szCs w:val="22"/>
        </w:rPr>
      </w:pPr>
      <w:r w:rsidRPr="004A41FC">
        <w:rPr>
          <w:rFonts w:ascii="Arial" w:hAnsi="Arial" w:cs="Arial"/>
          <w:b/>
          <w:sz w:val="22"/>
          <w:szCs w:val="22"/>
        </w:rPr>
        <w:t>Massive Mehrkosten beim Heizungsersatz:</w:t>
      </w:r>
      <w:r>
        <w:rPr>
          <w:rFonts w:ascii="Arial" w:hAnsi="Arial" w:cs="Arial"/>
          <w:sz w:val="22"/>
          <w:szCs w:val="22"/>
        </w:rPr>
        <w:t xml:space="preserve"> Das Gesetz bringt unverhältnismässig hohe Kosten beim Heizungsersatz mit sich, ohne einen nennenswerten Beitrag zum Klimaschutz zu leisten</w:t>
      </w:r>
      <w:r w:rsidRPr="004A41FC">
        <w:rPr>
          <w:rFonts w:ascii="Arial" w:hAnsi="Arial" w:cs="Arial"/>
          <w:sz w:val="22"/>
          <w:szCs w:val="22"/>
        </w:rPr>
        <w:t xml:space="preserve"> (</w:t>
      </w:r>
      <w:r>
        <w:rPr>
          <w:rFonts w:ascii="Arial" w:hAnsi="Arial" w:cs="Arial"/>
          <w:sz w:val="22"/>
          <w:szCs w:val="22"/>
        </w:rPr>
        <w:t>Argumente siehe weiter unten</w:t>
      </w:r>
      <w:r w:rsidRPr="004A41FC">
        <w:rPr>
          <w:rFonts w:ascii="Arial" w:hAnsi="Arial" w:cs="Arial"/>
          <w:sz w:val="22"/>
          <w:szCs w:val="22"/>
        </w:rPr>
        <w:t>).</w:t>
      </w:r>
    </w:p>
    <w:p w:rsidR="004B2CB1" w:rsidRDefault="004B2CB1" w:rsidP="00246F69">
      <w:pPr>
        <w:tabs>
          <w:tab w:val="left" w:pos="8364"/>
        </w:tabs>
        <w:spacing w:line="276" w:lineRule="auto"/>
        <w:ind w:right="669"/>
        <w:rPr>
          <w:rFonts w:ascii="Arial" w:hAnsi="Arial" w:cs="Arial"/>
          <w:u w:val="single"/>
        </w:rPr>
      </w:pPr>
    </w:p>
    <w:p w:rsidR="004B2CB1" w:rsidRPr="004B2CB1" w:rsidRDefault="004B2CB1" w:rsidP="00246F69">
      <w:pPr>
        <w:tabs>
          <w:tab w:val="left" w:pos="8364"/>
        </w:tabs>
        <w:spacing w:line="276" w:lineRule="auto"/>
        <w:ind w:right="669"/>
        <w:rPr>
          <w:rFonts w:ascii="Arial" w:hAnsi="Arial" w:cs="Arial"/>
          <w:u w:val="single"/>
        </w:rPr>
      </w:pPr>
      <w:r w:rsidRPr="005E79F1">
        <w:rPr>
          <w:rFonts w:ascii="Arial" w:hAnsi="Arial" w:cs="Arial"/>
          <w:u w:val="single"/>
        </w:rPr>
        <w:t xml:space="preserve">Argumente zur Rückweisung </w:t>
      </w:r>
      <w:r>
        <w:rPr>
          <w:rFonts w:ascii="Arial" w:hAnsi="Arial" w:cs="Arial"/>
          <w:u w:val="single"/>
        </w:rPr>
        <w:t>von § 11 (Teil F MuKEn)</w:t>
      </w:r>
      <w:r w:rsidRPr="005E79F1">
        <w:rPr>
          <w:rFonts w:ascii="Arial" w:hAnsi="Arial" w:cs="Arial"/>
          <w:u w:val="single"/>
        </w:rPr>
        <w:t xml:space="preserve">: </w:t>
      </w:r>
      <w:r>
        <w:rPr>
          <w:rFonts w:ascii="Arial" w:hAnsi="Arial" w:cs="Arial"/>
          <w:u w:val="single"/>
        </w:rPr>
        <w:br/>
      </w:r>
    </w:p>
    <w:p w:rsidR="004B2CB1" w:rsidRDefault="004B2CB1" w:rsidP="00246F69">
      <w:pPr>
        <w:pStyle w:val="Listenabsatz"/>
        <w:numPr>
          <w:ilvl w:val="0"/>
          <w:numId w:val="3"/>
        </w:numPr>
        <w:tabs>
          <w:tab w:val="left" w:pos="8364"/>
        </w:tabs>
        <w:spacing w:line="276" w:lineRule="auto"/>
        <w:ind w:right="669"/>
        <w:rPr>
          <w:rFonts w:ascii="Arial" w:hAnsi="Arial" w:cs="Arial"/>
          <w:sz w:val="22"/>
          <w:szCs w:val="22"/>
        </w:rPr>
      </w:pPr>
      <w:bookmarkStart w:id="2" w:name="_Hlk513558117"/>
      <w:r w:rsidRPr="004A41FC">
        <w:rPr>
          <w:rFonts w:ascii="Arial" w:hAnsi="Arial" w:cs="Arial"/>
          <w:b/>
          <w:sz w:val="22"/>
          <w:szCs w:val="22"/>
        </w:rPr>
        <w:t>Bis zu 75% Mehrkosten:</w:t>
      </w:r>
      <w:r>
        <w:rPr>
          <w:rFonts w:ascii="Arial" w:hAnsi="Arial" w:cs="Arial"/>
          <w:sz w:val="22"/>
          <w:szCs w:val="22"/>
        </w:rPr>
        <w:t xml:space="preserve"> § 11 zwingt den Hausbesitzer, beim Ersatz seiner fossilen Heizung ein zweites, erneuerbares Heizsystem zu installieren</w:t>
      </w:r>
      <w:r w:rsidR="00246F69">
        <w:rPr>
          <w:rFonts w:ascii="Arial" w:hAnsi="Arial" w:cs="Arial"/>
          <w:sz w:val="22"/>
          <w:szCs w:val="22"/>
        </w:rPr>
        <w:t xml:space="preserve"> oder anderweitige Investitionen zur Steigerung der Energieeffizienz des Gebäudes zu tätigen</w:t>
      </w:r>
      <w:r>
        <w:rPr>
          <w:rFonts w:ascii="Arial" w:hAnsi="Arial" w:cs="Arial"/>
          <w:sz w:val="22"/>
          <w:szCs w:val="22"/>
        </w:rPr>
        <w:t xml:space="preserve">. Dies würde den Heizungsersatz bis zu 75% verteuern. </w:t>
      </w:r>
      <w:r w:rsidRPr="004A41FC">
        <w:rPr>
          <w:rFonts w:ascii="Arial" w:hAnsi="Arial" w:cs="Arial"/>
          <w:sz w:val="22"/>
          <w:szCs w:val="22"/>
        </w:rPr>
        <w:t xml:space="preserve">Gemäss Berechnungen der EV kostet der Ersatz einer Ölheizung rund </w:t>
      </w:r>
      <w:r w:rsidR="008522EF">
        <w:rPr>
          <w:rFonts w:ascii="Arial" w:hAnsi="Arial" w:cs="Arial"/>
          <w:sz w:val="22"/>
          <w:szCs w:val="22"/>
        </w:rPr>
        <w:t xml:space="preserve">CHF </w:t>
      </w:r>
      <w:r w:rsidRPr="004A41FC">
        <w:rPr>
          <w:rFonts w:ascii="Arial" w:hAnsi="Arial" w:cs="Arial"/>
          <w:sz w:val="22"/>
          <w:szCs w:val="22"/>
        </w:rPr>
        <w:t>20'000.-, bei der Erfüllung der günstigsten Standardlösung ist</w:t>
      </w:r>
      <w:r>
        <w:rPr>
          <w:rFonts w:ascii="Arial" w:hAnsi="Arial" w:cs="Arial"/>
          <w:sz w:val="22"/>
          <w:szCs w:val="22"/>
        </w:rPr>
        <w:t xml:space="preserve"> dagegen</w:t>
      </w:r>
      <w:r w:rsidRPr="004A41FC">
        <w:rPr>
          <w:rFonts w:ascii="Arial" w:hAnsi="Arial" w:cs="Arial"/>
          <w:sz w:val="22"/>
          <w:szCs w:val="22"/>
        </w:rPr>
        <w:t xml:space="preserve"> mit Kosten von </w:t>
      </w:r>
      <w:r w:rsidR="008522EF">
        <w:rPr>
          <w:rFonts w:ascii="Arial" w:hAnsi="Arial" w:cs="Arial"/>
          <w:sz w:val="22"/>
          <w:szCs w:val="22"/>
        </w:rPr>
        <w:t xml:space="preserve">CHF </w:t>
      </w:r>
      <w:r w:rsidRPr="004A41FC">
        <w:rPr>
          <w:rFonts w:ascii="Arial" w:hAnsi="Arial" w:cs="Arial"/>
          <w:sz w:val="22"/>
          <w:szCs w:val="22"/>
        </w:rPr>
        <w:t xml:space="preserve">35'000.- zu rechnen. Bei einer Gasheizung dürften </w:t>
      </w:r>
      <w:r>
        <w:rPr>
          <w:rFonts w:ascii="Arial" w:hAnsi="Arial" w:cs="Arial"/>
          <w:sz w:val="22"/>
          <w:szCs w:val="22"/>
        </w:rPr>
        <w:t>das Verhältnis</w:t>
      </w:r>
      <w:r w:rsidRPr="004A41FC">
        <w:rPr>
          <w:rFonts w:ascii="Arial" w:hAnsi="Arial" w:cs="Arial"/>
          <w:sz w:val="22"/>
          <w:szCs w:val="22"/>
        </w:rPr>
        <w:t xml:space="preserve"> im ähnlichen Bereich liegen.</w:t>
      </w:r>
      <w:r>
        <w:rPr>
          <w:rFonts w:ascii="Arial" w:hAnsi="Arial" w:cs="Arial"/>
          <w:sz w:val="22"/>
          <w:szCs w:val="22"/>
        </w:rPr>
        <w:t xml:space="preserve"> </w:t>
      </w:r>
      <w:r w:rsidRPr="004A41FC">
        <w:rPr>
          <w:rFonts w:ascii="Arial" w:hAnsi="Arial" w:cs="Arial"/>
          <w:sz w:val="22"/>
          <w:szCs w:val="22"/>
        </w:rPr>
        <w:t>Dies wäre für viele Hausbesitzer wirtschaftlich nicht tragbar.</w:t>
      </w:r>
      <w:r>
        <w:rPr>
          <w:rFonts w:ascii="Arial" w:hAnsi="Arial" w:cs="Arial"/>
          <w:sz w:val="22"/>
          <w:szCs w:val="22"/>
        </w:rPr>
        <w:br/>
      </w:r>
    </w:p>
    <w:p w:rsidR="004B2CB1" w:rsidRDefault="004B2CB1" w:rsidP="00246F69">
      <w:pPr>
        <w:pStyle w:val="Listenabsatz"/>
        <w:numPr>
          <w:ilvl w:val="0"/>
          <w:numId w:val="3"/>
        </w:numPr>
        <w:tabs>
          <w:tab w:val="left" w:pos="8364"/>
        </w:tabs>
        <w:spacing w:line="276" w:lineRule="auto"/>
        <w:ind w:right="669"/>
        <w:rPr>
          <w:rFonts w:ascii="Arial" w:hAnsi="Arial" w:cs="Arial"/>
          <w:sz w:val="22"/>
          <w:szCs w:val="22"/>
        </w:rPr>
      </w:pPr>
      <w:r w:rsidRPr="007C215C">
        <w:rPr>
          <w:rFonts w:ascii="Arial" w:hAnsi="Arial" w:cs="Arial"/>
          <w:b/>
          <w:sz w:val="22"/>
          <w:szCs w:val="22"/>
        </w:rPr>
        <w:t>Eingriff in die Eigentumsfreiheit:</w:t>
      </w:r>
      <w:r>
        <w:rPr>
          <w:rFonts w:ascii="Arial" w:hAnsi="Arial" w:cs="Arial"/>
          <w:sz w:val="22"/>
          <w:szCs w:val="22"/>
        </w:rPr>
        <w:t xml:space="preserve"> D</w:t>
      </w:r>
      <w:r w:rsidRPr="004C5514">
        <w:rPr>
          <w:rFonts w:ascii="Arial" w:hAnsi="Arial" w:cs="Arial"/>
          <w:sz w:val="22"/>
          <w:szCs w:val="22"/>
        </w:rPr>
        <w:t xml:space="preserve">ie besagte </w:t>
      </w:r>
      <w:r>
        <w:rPr>
          <w:rFonts w:ascii="Arial" w:hAnsi="Arial" w:cs="Arial"/>
          <w:sz w:val="22"/>
          <w:szCs w:val="22"/>
        </w:rPr>
        <w:t>«10%-Regel»</w:t>
      </w:r>
      <w:r w:rsidRPr="004C5514">
        <w:rPr>
          <w:rFonts w:ascii="Arial" w:hAnsi="Arial" w:cs="Arial"/>
          <w:sz w:val="22"/>
          <w:szCs w:val="22"/>
        </w:rPr>
        <w:t xml:space="preserve"> </w:t>
      </w:r>
      <w:r>
        <w:rPr>
          <w:rFonts w:ascii="Arial" w:hAnsi="Arial" w:cs="Arial"/>
          <w:sz w:val="22"/>
          <w:szCs w:val="22"/>
        </w:rPr>
        <w:t>ist ein</w:t>
      </w:r>
      <w:r w:rsidRPr="004C5514">
        <w:rPr>
          <w:rFonts w:ascii="Arial" w:hAnsi="Arial" w:cs="Arial"/>
          <w:sz w:val="22"/>
          <w:szCs w:val="22"/>
        </w:rPr>
        <w:t xml:space="preserve"> </w:t>
      </w:r>
      <w:r>
        <w:rPr>
          <w:rFonts w:ascii="Arial" w:hAnsi="Arial" w:cs="Arial"/>
          <w:sz w:val="22"/>
          <w:szCs w:val="22"/>
        </w:rPr>
        <w:t xml:space="preserve">drastischer </w:t>
      </w:r>
      <w:r w:rsidRPr="004C5514">
        <w:rPr>
          <w:rFonts w:ascii="Arial" w:hAnsi="Arial" w:cs="Arial"/>
          <w:sz w:val="22"/>
          <w:szCs w:val="22"/>
        </w:rPr>
        <w:t>Eingriff in die</w:t>
      </w:r>
      <w:r>
        <w:rPr>
          <w:rFonts w:ascii="Arial" w:hAnsi="Arial" w:cs="Arial"/>
          <w:sz w:val="22"/>
          <w:szCs w:val="22"/>
        </w:rPr>
        <w:t xml:space="preserve"> </w:t>
      </w:r>
      <w:r w:rsidRPr="004C5514">
        <w:rPr>
          <w:rFonts w:ascii="Arial" w:hAnsi="Arial" w:cs="Arial"/>
          <w:sz w:val="22"/>
          <w:szCs w:val="22"/>
        </w:rPr>
        <w:t xml:space="preserve">Eigentumsfreiheit der Hauseigentümer und würde </w:t>
      </w:r>
      <w:r>
        <w:rPr>
          <w:rFonts w:ascii="Arial" w:hAnsi="Arial" w:cs="Arial"/>
          <w:sz w:val="22"/>
          <w:szCs w:val="22"/>
        </w:rPr>
        <w:t xml:space="preserve">zudem </w:t>
      </w:r>
      <w:r w:rsidRPr="004C5514">
        <w:rPr>
          <w:rFonts w:ascii="Arial" w:hAnsi="Arial" w:cs="Arial"/>
          <w:sz w:val="22"/>
          <w:szCs w:val="22"/>
        </w:rPr>
        <w:lastRenderedPageBreak/>
        <w:t>den Markt unter den verschiedenen Energieträgern drastisch verzerren</w:t>
      </w:r>
      <w:r>
        <w:rPr>
          <w:rFonts w:ascii="Arial" w:hAnsi="Arial" w:cs="Arial"/>
          <w:sz w:val="22"/>
          <w:szCs w:val="22"/>
        </w:rPr>
        <w:t xml:space="preserve">. </w:t>
      </w:r>
      <w:r>
        <w:rPr>
          <w:rFonts w:ascii="Arial" w:hAnsi="Arial" w:cs="Arial"/>
          <w:sz w:val="22"/>
          <w:szCs w:val="22"/>
        </w:rPr>
        <w:br/>
      </w:r>
    </w:p>
    <w:p w:rsidR="004B2CB1" w:rsidRDefault="004B2CB1" w:rsidP="00246F69">
      <w:pPr>
        <w:pStyle w:val="Listenabsatz"/>
        <w:numPr>
          <w:ilvl w:val="0"/>
          <w:numId w:val="3"/>
        </w:numPr>
        <w:tabs>
          <w:tab w:val="left" w:pos="8364"/>
        </w:tabs>
        <w:spacing w:line="276" w:lineRule="auto"/>
        <w:ind w:right="669"/>
        <w:rPr>
          <w:rFonts w:ascii="Arial" w:hAnsi="Arial" w:cs="Arial"/>
          <w:sz w:val="22"/>
          <w:szCs w:val="22"/>
        </w:rPr>
      </w:pPr>
      <w:r w:rsidRPr="005972FD">
        <w:rPr>
          <w:rFonts w:ascii="Arial" w:hAnsi="Arial" w:cs="Arial"/>
          <w:b/>
          <w:sz w:val="22"/>
          <w:szCs w:val="22"/>
        </w:rPr>
        <w:t>Miserables Kosten-Nutzen-Verhältnis:</w:t>
      </w:r>
      <w:r>
        <w:rPr>
          <w:rFonts w:ascii="Arial" w:hAnsi="Arial" w:cs="Arial"/>
          <w:sz w:val="22"/>
          <w:szCs w:val="22"/>
        </w:rPr>
        <w:t xml:space="preserve"> Der zu erwartende Nutzen steht in keinem Verhältnis zu den absehbaren Mehrkosten beim Heizungsersatz. Der CO</w:t>
      </w:r>
      <w:r w:rsidRPr="007C215C">
        <w:rPr>
          <w:rFonts w:ascii="Arial" w:hAnsi="Arial" w:cs="Arial"/>
          <w:sz w:val="22"/>
          <w:szCs w:val="22"/>
          <w:vertAlign w:val="subscript"/>
        </w:rPr>
        <w:t>2</w:t>
      </w:r>
      <w:r>
        <w:rPr>
          <w:rFonts w:ascii="Arial" w:hAnsi="Arial" w:cs="Arial"/>
          <w:sz w:val="22"/>
          <w:szCs w:val="22"/>
        </w:rPr>
        <w:t>-Ausstoss bei den Gebäuden sinkt rapide und die vorgesehene Zwangsmassnahme würde diesen Kurs, wenn überhaupt, nur minim beschleunigen oder gar verlangsamen.</w:t>
      </w:r>
      <w:r>
        <w:rPr>
          <w:rFonts w:ascii="Arial" w:hAnsi="Arial" w:cs="Arial"/>
          <w:sz w:val="22"/>
          <w:szCs w:val="22"/>
        </w:rPr>
        <w:br/>
      </w:r>
    </w:p>
    <w:p w:rsidR="004B2CB1" w:rsidRPr="0092067B" w:rsidRDefault="004B2CB1" w:rsidP="00246F69">
      <w:pPr>
        <w:pStyle w:val="Listenabsatz"/>
        <w:numPr>
          <w:ilvl w:val="0"/>
          <w:numId w:val="3"/>
        </w:numPr>
        <w:tabs>
          <w:tab w:val="left" w:pos="8364"/>
        </w:tabs>
        <w:spacing w:line="276" w:lineRule="auto"/>
        <w:ind w:right="708"/>
        <w:rPr>
          <w:rFonts w:ascii="Arial" w:hAnsi="Arial" w:cs="Arial"/>
          <w:sz w:val="22"/>
          <w:szCs w:val="22"/>
        </w:rPr>
      </w:pPr>
      <w:r w:rsidRPr="005972FD">
        <w:rPr>
          <w:rFonts w:ascii="Arial" w:hAnsi="Arial" w:cs="Arial"/>
          <w:b/>
          <w:sz w:val="22"/>
          <w:szCs w:val="22"/>
        </w:rPr>
        <w:t>Kurzsichtig:</w:t>
      </w:r>
      <w:r>
        <w:rPr>
          <w:rFonts w:ascii="Arial" w:hAnsi="Arial" w:cs="Arial"/>
          <w:sz w:val="22"/>
          <w:szCs w:val="22"/>
        </w:rPr>
        <w:t xml:space="preserve"> § 11 ignoriert die Tatsache, dass</w:t>
      </w:r>
      <w:r w:rsidRPr="00094853">
        <w:rPr>
          <w:rFonts w:ascii="Arial" w:hAnsi="Arial" w:cs="Arial"/>
          <w:sz w:val="22"/>
          <w:szCs w:val="22"/>
        </w:rPr>
        <w:t xml:space="preserve"> moderne Ölbrennwertheizung</w:t>
      </w:r>
      <w:r>
        <w:rPr>
          <w:rFonts w:ascii="Arial" w:hAnsi="Arial" w:cs="Arial"/>
          <w:sz w:val="22"/>
          <w:szCs w:val="22"/>
        </w:rPr>
        <w:t>en bis zu 30% weniger CO</w:t>
      </w:r>
      <w:r w:rsidRPr="003C287E">
        <w:rPr>
          <w:rFonts w:ascii="Arial" w:hAnsi="Arial" w:cs="Arial"/>
          <w:sz w:val="22"/>
          <w:szCs w:val="22"/>
          <w:vertAlign w:val="subscript"/>
        </w:rPr>
        <w:t>2</w:t>
      </w:r>
      <w:r w:rsidRPr="003C287E">
        <w:rPr>
          <w:rFonts w:ascii="Arial" w:hAnsi="Arial" w:cs="Arial"/>
          <w:sz w:val="22"/>
          <w:szCs w:val="22"/>
        </w:rPr>
        <w:t xml:space="preserve"> </w:t>
      </w:r>
      <w:r>
        <w:rPr>
          <w:rFonts w:ascii="Arial" w:hAnsi="Arial" w:cs="Arial"/>
          <w:sz w:val="22"/>
          <w:szCs w:val="22"/>
        </w:rPr>
        <w:t xml:space="preserve">ausstossen, als </w:t>
      </w:r>
      <w:r w:rsidR="0092067B">
        <w:rPr>
          <w:rFonts w:ascii="Arial" w:hAnsi="Arial" w:cs="Arial"/>
          <w:sz w:val="22"/>
          <w:szCs w:val="22"/>
        </w:rPr>
        <w:t>ältere</w:t>
      </w:r>
      <w:r>
        <w:rPr>
          <w:rFonts w:ascii="Arial" w:hAnsi="Arial" w:cs="Arial"/>
          <w:sz w:val="22"/>
          <w:szCs w:val="22"/>
        </w:rPr>
        <w:t xml:space="preserve"> Modelle.</w:t>
      </w:r>
      <w:r w:rsidRPr="00094853">
        <w:rPr>
          <w:rFonts w:ascii="Arial" w:hAnsi="Arial" w:cs="Arial"/>
          <w:sz w:val="22"/>
          <w:szCs w:val="22"/>
        </w:rPr>
        <w:t xml:space="preserve"> Würden alle derzeit in Betrieb stehenden</w:t>
      </w:r>
      <w:r w:rsidR="0092067B">
        <w:rPr>
          <w:rFonts w:ascii="Arial" w:hAnsi="Arial" w:cs="Arial"/>
          <w:sz w:val="22"/>
          <w:szCs w:val="22"/>
        </w:rPr>
        <w:t>,</w:t>
      </w:r>
      <w:r w:rsidRPr="00094853">
        <w:rPr>
          <w:rFonts w:ascii="Arial" w:hAnsi="Arial" w:cs="Arial"/>
          <w:sz w:val="22"/>
          <w:szCs w:val="22"/>
        </w:rPr>
        <w:t xml:space="preserve"> veralteten Ölheizungen gegen moderne </w:t>
      </w:r>
      <w:r>
        <w:rPr>
          <w:rFonts w:ascii="Arial" w:hAnsi="Arial" w:cs="Arial"/>
          <w:sz w:val="22"/>
          <w:szCs w:val="22"/>
        </w:rPr>
        <w:t>Geräte</w:t>
      </w:r>
      <w:r w:rsidRPr="00094853">
        <w:rPr>
          <w:rFonts w:ascii="Arial" w:hAnsi="Arial" w:cs="Arial"/>
          <w:sz w:val="22"/>
          <w:szCs w:val="22"/>
        </w:rPr>
        <w:t xml:space="preserve"> ausgetauscht, würde der CO</w:t>
      </w:r>
      <w:r w:rsidRPr="00094853">
        <w:rPr>
          <w:rFonts w:ascii="Arial" w:hAnsi="Arial" w:cs="Arial"/>
          <w:sz w:val="22"/>
          <w:szCs w:val="22"/>
          <w:vertAlign w:val="subscript"/>
        </w:rPr>
        <w:t>2</w:t>
      </w:r>
      <w:r w:rsidRPr="00094853">
        <w:rPr>
          <w:rFonts w:ascii="Arial" w:hAnsi="Arial" w:cs="Arial"/>
          <w:sz w:val="22"/>
          <w:szCs w:val="22"/>
        </w:rPr>
        <w:t>-Ausstoss rasch und markant sinken</w:t>
      </w:r>
      <w:r>
        <w:rPr>
          <w:rFonts w:ascii="Arial" w:hAnsi="Arial" w:cs="Arial"/>
          <w:sz w:val="22"/>
          <w:szCs w:val="22"/>
        </w:rPr>
        <w:t xml:space="preserve">. Es ist davon auszugehen, dass </w:t>
      </w:r>
      <w:r w:rsidRPr="007B6857">
        <w:rPr>
          <w:rFonts w:ascii="Arial" w:hAnsi="Arial" w:cs="Arial"/>
          <w:sz w:val="22"/>
          <w:szCs w:val="22"/>
        </w:rPr>
        <w:t xml:space="preserve">2/3 bis 3/4 der </w:t>
      </w:r>
      <w:r w:rsidR="0092067B">
        <w:rPr>
          <w:rFonts w:ascii="Arial" w:hAnsi="Arial" w:cs="Arial"/>
          <w:sz w:val="22"/>
          <w:szCs w:val="22"/>
        </w:rPr>
        <w:t>bestehenden</w:t>
      </w:r>
      <w:r w:rsidRPr="007B6857">
        <w:rPr>
          <w:rFonts w:ascii="Arial" w:hAnsi="Arial" w:cs="Arial"/>
          <w:sz w:val="22"/>
          <w:szCs w:val="22"/>
        </w:rPr>
        <w:t xml:space="preserve"> Ölheizungen veraltet sind. Das CO</w:t>
      </w:r>
      <w:r w:rsidRPr="0092067B">
        <w:rPr>
          <w:rFonts w:ascii="Arial" w:hAnsi="Arial" w:cs="Arial"/>
          <w:sz w:val="22"/>
          <w:szCs w:val="22"/>
          <w:vertAlign w:val="subscript"/>
        </w:rPr>
        <w:t>2</w:t>
      </w:r>
      <w:r w:rsidRPr="007B6857">
        <w:rPr>
          <w:rFonts w:ascii="Arial" w:hAnsi="Arial" w:cs="Arial"/>
          <w:sz w:val="22"/>
          <w:szCs w:val="22"/>
        </w:rPr>
        <w:t xml:space="preserve">-Einsparpotenzial ist </w:t>
      </w:r>
      <w:r w:rsidR="0092067B">
        <w:rPr>
          <w:rFonts w:ascii="Arial" w:hAnsi="Arial" w:cs="Arial"/>
          <w:sz w:val="22"/>
          <w:szCs w:val="22"/>
        </w:rPr>
        <w:t>enorm</w:t>
      </w:r>
      <w:r w:rsidRPr="007B6857">
        <w:rPr>
          <w:rFonts w:ascii="Arial" w:hAnsi="Arial" w:cs="Arial"/>
          <w:sz w:val="22"/>
          <w:szCs w:val="22"/>
        </w:rPr>
        <w:t>.</w:t>
      </w:r>
      <w:r w:rsidR="0092067B">
        <w:rPr>
          <w:rFonts w:ascii="Arial" w:hAnsi="Arial" w:cs="Arial"/>
          <w:sz w:val="22"/>
          <w:szCs w:val="22"/>
        </w:rPr>
        <w:br/>
      </w:r>
    </w:p>
    <w:p w:rsidR="004B2CB1" w:rsidRPr="00614C01" w:rsidRDefault="004B2CB1" w:rsidP="00246F69">
      <w:pPr>
        <w:pStyle w:val="Listenabsatz"/>
        <w:numPr>
          <w:ilvl w:val="0"/>
          <w:numId w:val="3"/>
        </w:numPr>
        <w:tabs>
          <w:tab w:val="left" w:pos="8364"/>
        </w:tabs>
        <w:spacing w:line="276" w:lineRule="auto"/>
        <w:ind w:right="669"/>
        <w:rPr>
          <w:rFonts w:ascii="Arial" w:hAnsi="Arial" w:cs="Arial"/>
          <w:sz w:val="22"/>
          <w:szCs w:val="22"/>
        </w:rPr>
      </w:pPr>
      <w:r w:rsidRPr="005972FD">
        <w:rPr>
          <w:rFonts w:ascii="Arial" w:hAnsi="Arial" w:cs="Arial"/>
          <w:b/>
          <w:sz w:val="22"/>
          <w:szCs w:val="22"/>
        </w:rPr>
        <w:t>Kontraproduktiv:</w:t>
      </w:r>
      <w:r>
        <w:rPr>
          <w:rFonts w:ascii="Arial" w:hAnsi="Arial" w:cs="Arial"/>
          <w:sz w:val="22"/>
          <w:szCs w:val="22"/>
        </w:rPr>
        <w:t xml:space="preserve"> V</w:t>
      </w:r>
      <w:r w:rsidRPr="00614C01">
        <w:rPr>
          <w:rFonts w:ascii="Arial" w:hAnsi="Arial" w:cs="Arial"/>
          <w:sz w:val="22"/>
          <w:szCs w:val="22"/>
        </w:rPr>
        <w:t xml:space="preserve">iele Hausbesitzer </w:t>
      </w:r>
      <w:r>
        <w:rPr>
          <w:rFonts w:ascii="Arial" w:hAnsi="Arial" w:cs="Arial"/>
          <w:sz w:val="22"/>
          <w:szCs w:val="22"/>
        </w:rPr>
        <w:t xml:space="preserve">würden </w:t>
      </w:r>
      <w:r w:rsidRPr="00614C01">
        <w:rPr>
          <w:rFonts w:ascii="Arial" w:hAnsi="Arial" w:cs="Arial"/>
          <w:sz w:val="22"/>
          <w:szCs w:val="22"/>
        </w:rPr>
        <w:t xml:space="preserve">aufgrund der zu erwartenden Mehrkosten nötige und sinnvolle Sanierungen vor sich herschieben oder ganz darauf verzichten. </w:t>
      </w:r>
      <w:r>
        <w:rPr>
          <w:rFonts w:ascii="Arial" w:hAnsi="Arial" w:cs="Arial"/>
          <w:sz w:val="22"/>
          <w:szCs w:val="22"/>
        </w:rPr>
        <w:t>I</w:t>
      </w:r>
      <w:r w:rsidRPr="00614C01">
        <w:rPr>
          <w:rFonts w:ascii="Arial" w:hAnsi="Arial" w:cs="Arial"/>
          <w:sz w:val="22"/>
          <w:szCs w:val="22"/>
        </w:rPr>
        <w:t xml:space="preserve">neffiziente Geräte würden weit über ihre Lebensdauer hinaus betrieben. Dies </w:t>
      </w:r>
      <w:r>
        <w:rPr>
          <w:rFonts w:ascii="Arial" w:hAnsi="Arial" w:cs="Arial"/>
          <w:sz w:val="22"/>
          <w:szCs w:val="22"/>
        </w:rPr>
        <w:t>ist letzten Endes kontraproduktiv</w:t>
      </w:r>
      <w:r w:rsidRPr="00614C01">
        <w:rPr>
          <w:rFonts w:ascii="Arial" w:hAnsi="Arial" w:cs="Arial"/>
          <w:sz w:val="22"/>
          <w:szCs w:val="22"/>
        </w:rPr>
        <w:t xml:space="preserve">. </w:t>
      </w:r>
      <w:r>
        <w:rPr>
          <w:rFonts w:ascii="Arial" w:hAnsi="Arial" w:cs="Arial"/>
          <w:sz w:val="22"/>
          <w:szCs w:val="22"/>
        </w:rPr>
        <w:br/>
      </w:r>
    </w:p>
    <w:p w:rsidR="004B2CB1" w:rsidRDefault="004B2CB1" w:rsidP="00246F69">
      <w:pPr>
        <w:pStyle w:val="Listenabsatz"/>
        <w:numPr>
          <w:ilvl w:val="0"/>
          <w:numId w:val="3"/>
        </w:numPr>
        <w:tabs>
          <w:tab w:val="left" w:pos="7797"/>
          <w:tab w:val="left" w:pos="8364"/>
        </w:tabs>
        <w:spacing w:line="276" w:lineRule="auto"/>
        <w:ind w:right="669"/>
        <w:rPr>
          <w:rFonts w:ascii="Arial" w:hAnsi="Arial" w:cs="Arial"/>
          <w:sz w:val="22"/>
          <w:szCs w:val="22"/>
        </w:rPr>
      </w:pPr>
      <w:r w:rsidRPr="007C1343">
        <w:rPr>
          <w:rFonts w:ascii="Arial" w:hAnsi="Arial" w:cs="Arial"/>
          <w:b/>
          <w:sz w:val="22"/>
          <w:szCs w:val="22"/>
        </w:rPr>
        <w:t>Verkapptes Verbot fossiler Heizungen:</w:t>
      </w:r>
      <w:r>
        <w:rPr>
          <w:rFonts w:ascii="Arial" w:hAnsi="Arial" w:cs="Arial"/>
          <w:sz w:val="22"/>
          <w:szCs w:val="22"/>
        </w:rPr>
        <w:t xml:space="preserve"> Die Absicht hinter § 11 ist offensichtlich: Die Kosten für den Ersatz einer fossil betriebenen Heizung sollen so sehr in die Höhe getrieben werden, dass der Heizungsbesitzer sich gleich für eine teure, vollständig erneuerbare Lösung entscheidet. Die 10%-Regel ist eine unehrliche und schikanöse Massnahme und kommt einem verkappten Verbot von fossilen Heizungen gleich.</w:t>
      </w:r>
      <w:r>
        <w:rPr>
          <w:rFonts w:ascii="Arial" w:hAnsi="Arial" w:cs="Arial"/>
          <w:sz w:val="22"/>
          <w:szCs w:val="22"/>
        </w:rPr>
        <w:br/>
      </w:r>
    </w:p>
    <w:p w:rsidR="004B2CB1" w:rsidRDefault="004B2CB1" w:rsidP="00246F69">
      <w:pPr>
        <w:pStyle w:val="Listenabsatz"/>
        <w:numPr>
          <w:ilvl w:val="0"/>
          <w:numId w:val="3"/>
        </w:numPr>
        <w:tabs>
          <w:tab w:val="left" w:pos="8364"/>
        </w:tabs>
        <w:spacing w:line="276" w:lineRule="auto"/>
        <w:ind w:right="567"/>
        <w:rPr>
          <w:rFonts w:ascii="Arial" w:hAnsi="Arial" w:cs="Arial"/>
          <w:sz w:val="22"/>
          <w:szCs w:val="22"/>
        </w:rPr>
      </w:pPr>
      <w:r>
        <w:rPr>
          <w:rFonts w:ascii="Arial" w:hAnsi="Arial" w:cs="Arial"/>
          <w:b/>
          <w:sz w:val="22"/>
          <w:szCs w:val="22"/>
        </w:rPr>
        <w:t>Sinnlose Symbolpolitik:</w:t>
      </w:r>
      <w:r>
        <w:rPr>
          <w:rFonts w:ascii="Arial" w:hAnsi="Arial" w:cs="Arial"/>
          <w:sz w:val="22"/>
          <w:szCs w:val="22"/>
        </w:rPr>
        <w:t xml:space="preserve"> </w:t>
      </w:r>
      <w:r w:rsidRPr="007B6857">
        <w:rPr>
          <w:rFonts w:ascii="Arial" w:hAnsi="Arial" w:cs="Arial"/>
          <w:sz w:val="22"/>
          <w:szCs w:val="22"/>
        </w:rPr>
        <w:t>Die Schweiz trägt gerade</w:t>
      </w:r>
      <w:r>
        <w:rPr>
          <w:rFonts w:ascii="Arial" w:hAnsi="Arial" w:cs="Arial"/>
          <w:sz w:val="22"/>
          <w:szCs w:val="22"/>
        </w:rPr>
        <w:t xml:space="preserve"> mal </w:t>
      </w:r>
      <w:r w:rsidRPr="007B6857">
        <w:rPr>
          <w:rFonts w:ascii="Arial" w:hAnsi="Arial" w:cs="Arial"/>
          <w:sz w:val="22"/>
          <w:szCs w:val="22"/>
        </w:rPr>
        <w:t>ein Promille zum weltweiten CO</w:t>
      </w:r>
      <w:r w:rsidRPr="007B6857">
        <w:rPr>
          <w:rFonts w:ascii="Arial" w:hAnsi="Arial" w:cs="Arial"/>
          <w:sz w:val="22"/>
          <w:szCs w:val="22"/>
          <w:vertAlign w:val="subscript"/>
        </w:rPr>
        <w:t>2</w:t>
      </w:r>
      <w:r w:rsidRPr="007B6857">
        <w:rPr>
          <w:rFonts w:ascii="Arial" w:hAnsi="Arial" w:cs="Arial"/>
          <w:sz w:val="22"/>
          <w:szCs w:val="22"/>
        </w:rPr>
        <w:t>-Ausstoss bei. Im Jahr 2017 betrug der Anstieg der weltweiten Emissionen das vierzehnfache des gesamten Schweizer Ausstosses an CO</w:t>
      </w:r>
      <w:r w:rsidRPr="007B6857">
        <w:rPr>
          <w:rFonts w:ascii="Arial" w:hAnsi="Arial" w:cs="Arial"/>
          <w:sz w:val="22"/>
          <w:szCs w:val="22"/>
          <w:vertAlign w:val="subscript"/>
        </w:rPr>
        <w:t>2</w:t>
      </w:r>
      <w:r w:rsidRPr="007B6857">
        <w:rPr>
          <w:rFonts w:ascii="Arial" w:hAnsi="Arial" w:cs="Arial"/>
          <w:sz w:val="22"/>
          <w:szCs w:val="22"/>
        </w:rPr>
        <w:t xml:space="preserve">. </w:t>
      </w:r>
      <w:r>
        <w:rPr>
          <w:rFonts w:ascii="Arial" w:hAnsi="Arial" w:cs="Arial"/>
          <w:sz w:val="22"/>
          <w:szCs w:val="22"/>
        </w:rPr>
        <w:t>D</w:t>
      </w:r>
      <w:r w:rsidRPr="007B6857">
        <w:rPr>
          <w:rFonts w:ascii="Arial" w:hAnsi="Arial" w:cs="Arial"/>
          <w:sz w:val="22"/>
          <w:szCs w:val="22"/>
        </w:rPr>
        <w:t xml:space="preserve">er Effekt der 10%-Regel in einem einzelnen Kanton </w:t>
      </w:r>
      <w:r>
        <w:rPr>
          <w:rFonts w:ascii="Arial" w:hAnsi="Arial" w:cs="Arial"/>
          <w:sz w:val="22"/>
          <w:szCs w:val="22"/>
        </w:rPr>
        <w:t xml:space="preserve">wäre </w:t>
      </w:r>
      <w:r w:rsidRPr="007B6857">
        <w:rPr>
          <w:rFonts w:ascii="Arial" w:hAnsi="Arial" w:cs="Arial"/>
          <w:sz w:val="22"/>
          <w:szCs w:val="22"/>
        </w:rPr>
        <w:t>auf den weltweiten CO</w:t>
      </w:r>
      <w:r w:rsidRPr="007B6857">
        <w:rPr>
          <w:rFonts w:ascii="Arial" w:hAnsi="Arial" w:cs="Arial"/>
          <w:sz w:val="22"/>
          <w:szCs w:val="22"/>
          <w:vertAlign w:val="subscript"/>
        </w:rPr>
        <w:t>2</w:t>
      </w:r>
      <w:r w:rsidRPr="007B6857">
        <w:rPr>
          <w:rFonts w:ascii="Arial" w:hAnsi="Arial" w:cs="Arial"/>
          <w:sz w:val="22"/>
          <w:szCs w:val="22"/>
        </w:rPr>
        <w:t>-Ausstoss nicht messbar</w:t>
      </w:r>
      <w:r>
        <w:rPr>
          <w:rFonts w:ascii="Arial" w:hAnsi="Arial" w:cs="Arial"/>
          <w:sz w:val="22"/>
          <w:szCs w:val="22"/>
        </w:rPr>
        <w:t>.</w:t>
      </w:r>
    </w:p>
    <w:bookmarkEnd w:id="2"/>
    <w:p w:rsidR="004B2CB1" w:rsidRPr="007B6857" w:rsidRDefault="004B2CB1" w:rsidP="00246F69">
      <w:pPr>
        <w:tabs>
          <w:tab w:val="left" w:pos="8364"/>
        </w:tabs>
        <w:spacing w:line="276" w:lineRule="auto"/>
        <w:ind w:right="669"/>
        <w:rPr>
          <w:rFonts w:ascii="Arial" w:hAnsi="Arial" w:cs="Arial"/>
          <w:b/>
        </w:rPr>
      </w:pPr>
    </w:p>
    <w:p w:rsidR="004B2CB1" w:rsidRPr="0092067B" w:rsidRDefault="004B2CB1" w:rsidP="00246F69">
      <w:pPr>
        <w:tabs>
          <w:tab w:val="left" w:pos="8364"/>
        </w:tabs>
        <w:spacing w:line="276" w:lineRule="auto"/>
        <w:ind w:right="669"/>
        <w:rPr>
          <w:rFonts w:ascii="Arial" w:hAnsi="Arial" w:cs="Arial"/>
          <w:u w:val="single"/>
        </w:rPr>
      </w:pPr>
      <w:r>
        <w:rPr>
          <w:rFonts w:ascii="Arial" w:hAnsi="Arial" w:cs="Arial"/>
          <w:u w:val="single"/>
        </w:rPr>
        <w:t>Ausformulierter Vorschlag zur</w:t>
      </w:r>
      <w:r w:rsidRPr="005E79F1">
        <w:rPr>
          <w:rFonts w:ascii="Arial" w:hAnsi="Arial" w:cs="Arial"/>
          <w:u w:val="single"/>
        </w:rPr>
        <w:t xml:space="preserve"> </w:t>
      </w:r>
      <w:r>
        <w:rPr>
          <w:rFonts w:ascii="Arial" w:hAnsi="Arial" w:cs="Arial"/>
          <w:u w:val="single"/>
        </w:rPr>
        <w:t>Änderung von § 11</w:t>
      </w:r>
      <w:r w:rsidRPr="005E79F1">
        <w:rPr>
          <w:rFonts w:ascii="Arial" w:hAnsi="Arial" w:cs="Arial"/>
          <w:u w:val="single"/>
        </w:rPr>
        <w:t xml:space="preserve">: </w:t>
      </w:r>
      <w:r w:rsidR="0092067B">
        <w:rPr>
          <w:rFonts w:ascii="Arial" w:hAnsi="Arial" w:cs="Arial"/>
          <w:u w:val="single"/>
        </w:rPr>
        <w:br/>
      </w:r>
    </w:p>
    <w:p w:rsidR="004B2CB1" w:rsidRDefault="004B2CB1" w:rsidP="00246F69">
      <w:pPr>
        <w:pStyle w:val="Listenabsatz"/>
        <w:numPr>
          <w:ilvl w:val="0"/>
          <w:numId w:val="1"/>
        </w:numPr>
        <w:tabs>
          <w:tab w:val="left" w:pos="8364"/>
        </w:tabs>
        <w:spacing w:line="276" w:lineRule="auto"/>
        <w:ind w:right="669"/>
        <w:rPr>
          <w:rFonts w:ascii="Arial" w:hAnsi="Arial" w:cs="Arial"/>
          <w:sz w:val="22"/>
          <w:szCs w:val="22"/>
        </w:rPr>
      </w:pPr>
      <w:r>
        <w:rPr>
          <w:rFonts w:ascii="Arial" w:hAnsi="Arial" w:cs="Arial"/>
          <w:sz w:val="22"/>
          <w:szCs w:val="22"/>
        </w:rPr>
        <w:t xml:space="preserve">Unter </w:t>
      </w:r>
      <w:r w:rsidRPr="00C94AF5">
        <w:rPr>
          <w:rFonts w:ascii="Arial" w:hAnsi="Arial" w:cs="Arial"/>
          <w:sz w:val="22"/>
          <w:szCs w:val="22"/>
          <w:vertAlign w:val="superscript"/>
        </w:rPr>
        <w:t>1</w:t>
      </w:r>
      <w:r>
        <w:rPr>
          <w:rFonts w:ascii="Arial" w:hAnsi="Arial" w:cs="Arial"/>
          <w:sz w:val="22"/>
          <w:szCs w:val="22"/>
          <w:vertAlign w:val="superscript"/>
        </w:rPr>
        <w:t>)</w:t>
      </w:r>
      <w:r>
        <w:rPr>
          <w:rFonts w:ascii="Arial" w:hAnsi="Arial" w:cs="Arial"/>
          <w:sz w:val="22"/>
          <w:szCs w:val="22"/>
        </w:rPr>
        <w:t xml:space="preserve"> ist folgende Ergänzung einzufügen: </w:t>
      </w:r>
      <w:r>
        <w:rPr>
          <w:rFonts w:ascii="Arial" w:hAnsi="Arial" w:cs="Arial"/>
          <w:sz w:val="22"/>
          <w:szCs w:val="22"/>
        </w:rPr>
        <w:br/>
      </w:r>
      <w:r>
        <w:rPr>
          <w:rFonts w:ascii="Arial" w:hAnsi="Arial" w:cs="Arial"/>
          <w:sz w:val="22"/>
          <w:szCs w:val="22"/>
        </w:rPr>
        <w:br/>
        <w:t xml:space="preserve">„Dieser Regelung muss nicht Folge geleistet werden, wenn </w:t>
      </w:r>
    </w:p>
    <w:p w:rsidR="004B2CB1" w:rsidRDefault="004B2CB1" w:rsidP="00246F69">
      <w:pPr>
        <w:pStyle w:val="Listenabsatz"/>
        <w:numPr>
          <w:ilvl w:val="0"/>
          <w:numId w:val="2"/>
        </w:numPr>
        <w:tabs>
          <w:tab w:val="left" w:pos="8364"/>
        </w:tabs>
        <w:spacing w:line="276" w:lineRule="auto"/>
        <w:ind w:right="669"/>
        <w:rPr>
          <w:rFonts w:ascii="Arial" w:hAnsi="Arial" w:cs="Arial"/>
          <w:sz w:val="22"/>
          <w:szCs w:val="22"/>
        </w:rPr>
      </w:pPr>
      <w:r>
        <w:rPr>
          <w:rFonts w:ascii="Arial" w:hAnsi="Arial" w:cs="Arial"/>
          <w:sz w:val="22"/>
          <w:szCs w:val="22"/>
        </w:rPr>
        <w:t>die zu erwartenden Mehrkosten bei der Erfüllung der oben genannten Bestimmung 10 Prozent der gesamten Kosten des Heizungsersatzes mit einem gleichwertigen System</w:t>
      </w:r>
      <w:r w:rsidRPr="003F39B6">
        <w:rPr>
          <w:rFonts w:ascii="Arial" w:hAnsi="Arial" w:cs="Arial"/>
          <w:sz w:val="22"/>
          <w:szCs w:val="22"/>
        </w:rPr>
        <w:t xml:space="preserve"> </w:t>
      </w:r>
      <w:r>
        <w:rPr>
          <w:rFonts w:ascii="Arial" w:hAnsi="Arial" w:cs="Arial"/>
          <w:sz w:val="22"/>
          <w:szCs w:val="22"/>
        </w:rPr>
        <w:t>übersteigen oder</w:t>
      </w:r>
    </w:p>
    <w:p w:rsidR="004B2CB1" w:rsidRDefault="004B2CB1" w:rsidP="00246F69">
      <w:pPr>
        <w:pStyle w:val="Listenabsatz"/>
        <w:numPr>
          <w:ilvl w:val="0"/>
          <w:numId w:val="2"/>
        </w:numPr>
        <w:tabs>
          <w:tab w:val="left" w:pos="8364"/>
        </w:tabs>
        <w:spacing w:line="276" w:lineRule="auto"/>
        <w:ind w:right="669"/>
        <w:rPr>
          <w:rFonts w:ascii="Arial" w:hAnsi="Arial" w:cs="Arial"/>
          <w:sz w:val="22"/>
          <w:szCs w:val="22"/>
        </w:rPr>
      </w:pPr>
      <w:r w:rsidRPr="003F39B6">
        <w:rPr>
          <w:rFonts w:ascii="Arial" w:hAnsi="Arial" w:cs="Arial"/>
          <w:sz w:val="22"/>
          <w:szCs w:val="22"/>
        </w:rPr>
        <w:t xml:space="preserve">der </w:t>
      </w:r>
      <w:r>
        <w:rPr>
          <w:rFonts w:ascii="Arial" w:hAnsi="Arial" w:cs="Arial"/>
          <w:sz w:val="22"/>
          <w:szCs w:val="22"/>
        </w:rPr>
        <w:t>Ersatz des Wärmeerzeugers mit einem gleichwertigen System</w:t>
      </w:r>
      <w:r w:rsidRPr="003F39B6">
        <w:rPr>
          <w:rFonts w:ascii="Arial" w:hAnsi="Arial" w:cs="Arial"/>
          <w:sz w:val="22"/>
          <w:szCs w:val="22"/>
        </w:rPr>
        <w:t xml:space="preserve"> zu einer Steigerung der Energieeffizienz um mehr als 10</w:t>
      </w:r>
      <w:r>
        <w:rPr>
          <w:rFonts w:ascii="Arial" w:hAnsi="Arial" w:cs="Arial"/>
          <w:sz w:val="22"/>
          <w:szCs w:val="22"/>
        </w:rPr>
        <w:t xml:space="preserve"> Prozent</w:t>
      </w:r>
      <w:r w:rsidRPr="003F39B6">
        <w:rPr>
          <w:rFonts w:ascii="Arial" w:hAnsi="Arial" w:cs="Arial"/>
          <w:sz w:val="22"/>
          <w:szCs w:val="22"/>
        </w:rPr>
        <w:t xml:space="preserve"> führt</w:t>
      </w:r>
      <w:r>
        <w:rPr>
          <w:rFonts w:ascii="Arial" w:hAnsi="Arial" w:cs="Arial"/>
          <w:sz w:val="22"/>
          <w:szCs w:val="22"/>
        </w:rPr>
        <w:t xml:space="preserve"> oder</w:t>
      </w:r>
    </w:p>
    <w:p w:rsidR="0092067B" w:rsidRPr="00246F69" w:rsidRDefault="004B2CB1" w:rsidP="00246F69">
      <w:pPr>
        <w:pStyle w:val="Listenabsatz"/>
        <w:numPr>
          <w:ilvl w:val="0"/>
          <w:numId w:val="2"/>
        </w:numPr>
        <w:tabs>
          <w:tab w:val="left" w:pos="8364"/>
        </w:tabs>
        <w:spacing w:line="276" w:lineRule="auto"/>
        <w:ind w:right="669"/>
        <w:rPr>
          <w:rFonts w:ascii="Arial" w:hAnsi="Arial" w:cs="Arial"/>
          <w:sz w:val="22"/>
          <w:szCs w:val="22"/>
        </w:rPr>
      </w:pPr>
      <w:r w:rsidRPr="009175A9">
        <w:rPr>
          <w:rFonts w:ascii="Arial" w:hAnsi="Arial" w:cs="Arial"/>
          <w:sz w:val="22"/>
          <w:szCs w:val="22"/>
        </w:rPr>
        <w:t xml:space="preserve">die Bauherrschaft beim Ersatz einer mit flüssigem </w:t>
      </w:r>
      <w:r>
        <w:rPr>
          <w:rFonts w:ascii="Arial" w:hAnsi="Arial" w:cs="Arial"/>
          <w:sz w:val="22"/>
          <w:szCs w:val="22"/>
        </w:rPr>
        <w:t xml:space="preserve">oder gasförmigem </w:t>
      </w:r>
      <w:r w:rsidRPr="009175A9">
        <w:rPr>
          <w:rFonts w:ascii="Arial" w:hAnsi="Arial" w:cs="Arial"/>
          <w:sz w:val="22"/>
          <w:szCs w:val="22"/>
        </w:rPr>
        <w:t xml:space="preserve">Brennstoff betriebenen Heizungsanlage nachweist, dass sie über die gesamte Lebensdauer des Wärmeerzeugers mindestens </w:t>
      </w:r>
      <w:r>
        <w:rPr>
          <w:rFonts w:ascii="Arial" w:hAnsi="Arial" w:cs="Arial"/>
          <w:sz w:val="22"/>
          <w:szCs w:val="22"/>
        </w:rPr>
        <w:t>1</w:t>
      </w:r>
      <w:r w:rsidRPr="009175A9">
        <w:rPr>
          <w:rFonts w:ascii="Arial" w:hAnsi="Arial" w:cs="Arial"/>
          <w:sz w:val="22"/>
          <w:szCs w:val="22"/>
        </w:rPr>
        <w:t xml:space="preserve">0 Prozent erneuerbaren flüssigen </w:t>
      </w:r>
      <w:r>
        <w:rPr>
          <w:rFonts w:ascii="Arial" w:hAnsi="Arial" w:cs="Arial"/>
          <w:sz w:val="22"/>
          <w:szCs w:val="22"/>
        </w:rPr>
        <w:t xml:space="preserve">oder gasförmigen </w:t>
      </w:r>
      <w:r w:rsidRPr="009175A9">
        <w:rPr>
          <w:rFonts w:ascii="Arial" w:hAnsi="Arial" w:cs="Arial"/>
          <w:sz w:val="22"/>
          <w:szCs w:val="22"/>
        </w:rPr>
        <w:t>Brennstoff (aus Biomasse oder mit Power-</w:t>
      </w:r>
      <w:proofErr w:type="spellStart"/>
      <w:r w:rsidRPr="009175A9">
        <w:rPr>
          <w:rFonts w:ascii="Arial" w:hAnsi="Arial" w:cs="Arial"/>
          <w:sz w:val="22"/>
          <w:szCs w:val="22"/>
        </w:rPr>
        <w:t>to</w:t>
      </w:r>
      <w:proofErr w:type="spellEnd"/>
      <w:r w:rsidRPr="009175A9">
        <w:rPr>
          <w:rFonts w:ascii="Arial" w:hAnsi="Arial" w:cs="Arial"/>
          <w:sz w:val="22"/>
          <w:szCs w:val="22"/>
        </w:rPr>
        <w:t>-Liquid Verfahren hergestellt) einsetzt</w:t>
      </w:r>
      <w:r w:rsidRPr="003F39B6">
        <w:rPr>
          <w:rFonts w:ascii="Arial" w:hAnsi="Arial" w:cs="Arial"/>
          <w:sz w:val="22"/>
          <w:szCs w:val="22"/>
        </w:rPr>
        <w:t>“.</w:t>
      </w:r>
    </w:p>
    <w:sectPr w:rsidR="0092067B" w:rsidRPr="00246F6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46" w:rsidRDefault="00211146" w:rsidP="004B2CB1">
      <w:pPr>
        <w:spacing w:after="0" w:line="240" w:lineRule="auto"/>
      </w:pPr>
      <w:r>
        <w:separator/>
      </w:r>
    </w:p>
  </w:endnote>
  <w:endnote w:type="continuationSeparator" w:id="0">
    <w:p w:rsidR="00211146" w:rsidRDefault="00211146" w:rsidP="004B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69" w:rsidRPr="00246F69" w:rsidRDefault="00246F69" w:rsidP="00246F69">
    <w:pPr>
      <w:tabs>
        <w:tab w:val="left" w:pos="8364"/>
      </w:tabs>
      <w:spacing w:line="276" w:lineRule="auto"/>
      <w:ind w:right="669"/>
      <w:rPr>
        <w:sz w:val="12"/>
        <w:szCs w:val="12"/>
      </w:rPr>
    </w:pPr>
    <w:r w:rsidRPr="00246F69">
      <w:rPr>
        <w:rFonts w:ascii="Arial" w:hAnsi="Arial" w:cs="Arial"/>
        <w:sz w:val="12"/>
        <w:szCs w:val="12"/>
      </w:rPr>
      <w:t>UB / Juli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46" w:rsidRDefault="00211146" w:rsidP="004B2CB1">
      <w:pPr>
        <w:spacing w:after="0" w:line="240" w:lineRule="auto"/>
      </w:pPr>
      <w:r>
        <w:separator/>
      </w:r>
    </w:p>
  </w:footnote>
  <w:footnote w:type="continuationSeparator" w:id="0">
    <w:p w:rsidR="00211146" w:rsidRDefault="00211146" w:rsidP="004B2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F0F41"/>
    <w:multiLevelType w:val="hybridMultilevel"/>
    <w:tmpl w:val="B0B6BCC2"/>
    <w:lvl w:ilvl="0" w:tplc="BCE2C56E">
      <w:start w:val="6002"/>
      <w:numFmt w:val="bullet"/>
      <w:lvlText w:val=""/>
      <w:lvlJc w:val="left"/>
      <w:pPr>
        <w:ind w:left="720" w:hanging="360"/>
      </w:pPr>
      <w:rPr>
        <w:rFonts w:ascii="Wingdings" w:eastAsia="Times New Roman" w:hAnsi="Wingdings"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4EB4A53"/>
    <w:multiLevelType w:val="hybridMultilevel"/>
    <w:tmpl w:val="3A789154"/>
    <w:lvl w:ilvl="0" w:tplc="9168DDC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F66654F"/>
    <w:multiLevelType w:val="hybridMultilevel"/>
    <w:tmpl w:val="EBA256F8"/>
    <w:lvl w:ilvl="0" w:tplc="4B2C2E1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71F33ECD"/>
    <w:multiLevelType w:val="hybridMultilevel"/>
    <w:tmpl w:val="9D962B9E"/>
    <w:lvl w:ilvl="0" w:tplc="B69AA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B1"/>
    <w:rsid w:val="000673D3"/>
    <w:rsid w:val="00113F65"/>
    <w:rsid w:val="00211146"/>
    <w:rsid w:val="00246F69"/>
    <w:rsid w:val="004B2CB1"/>
    <w:rsid w:val="008522EF"/>
    <w:rsid w:val="009206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91161-84AB-4A66-8B6B-37BD4EA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C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CB1"/>
  </w:style>
  <w:style w:type="paragraph" w:styleId="Fuzeile">
    <w:name w:val="footer"/>
    <w:basedOn w:val="Standard"/>
    <w:link w:val="FuzeileZchn"/>
    <w:uiPriority w:val="99"/>
    <w:unhideWhenUsed/>
    <w:rsid w:val="004B2C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CB1"/>
  </w:style>
  <w:style w:type="paragraph" w:styleId="Listenabsatz">
    <w:name w:val="List Paragraph"/>
    <w:basedOn w:val="Standard"/>
    <w:uiPriority w:val="34"/>
    <w:qFormat/>
    <w:rsid w:val="004B2CB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Bamert</dc:creator>
  <cp:keywords/>
  <dc:description/>
  <cp:lastModifiedBy>Stephan Peterhans</cp:lastModifiedBy>
  <cp:revision>2</cp:revision>
  <dcterms:created xsi:type="dcterms:W3CDTF">2018-08-28T08:04:00Z</dcterms:created>
  <dcterms:modified xsi:type="dcterms:W3CDTF">2018-08-28T08:04:00Z</dcterms:modified>
</cp:coreProperties>
</file>